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F98BB" w14:textId="7C2DF04C" w:rsidR="00462B04" w:rsidRDefault="00462B04" w:rsidP="00462B04">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462B04">
        <w:rPr>
          <w:rFonts w:ascii="Lato" w:eastAsia="Times New Roman" w:hAnsi="Lato" w:cs="Times New Roman"/>
          <w:color w:val="CC3300"/>
          <w:kern w:val="36"/>
          <w:sz w:val="36"/>
          <w:szCs w:val="36"/>
          <w:lang w:eastAsia="fr-BE"/>
          <w14:ligatures w14:val="none"/>
        </w:rPr>
        <w:t>Aluminium</w:t>
      </w:r>
      <w:r>
        <w:rPr>
          <w:rFonts w:ascii="Lato" w:eastAsia="Times New Roman" w:hAnsi="Lato" w:cs="Times New Roman"/>
          <w:color w:val="CC3300"/>
          <w:kern w:val="36"/>
          <w:sz w:val="36"/>
          <w:szCs w:val="36"/>
          <w:lang w:eastAsia="fr-BE"/>
          <w14:ligatures w14:val="none"/>
        </w:rPr>
        <w:t>,</w:t>
      </w:r>
      <w:r w:rsidRPr="00462B04">
        <w:rPr>
          <w:rFonts w:ascii="Lato" w:eastAsia="Times New Roman" w:hAnsi="Lato" w:cs="Times New Roman"/>
          <w:color w:val="CC3300"/>
          <w:kern w:val="36"/>
          <w:sz w:val="36"/>
          <w:szCs w:val="36"/>
          <w:lang w:eastAsia="fr-BE"/>
          <w14:ligatures w14:val="none"/>
        </w:rPr>
        <w:t xml:space="preserve"> le MACF pourrait nuire au secteur plutôt que le soutenir</w:t>
      </w:r>
    </w:p>
    <w:p w14:paraId="0924251B" w14:textId="77777777" w:rsidR="00462B04" w:rsidRPr="00462B04" w:rsidRDefault="00462B04" w:rsidP="00462B04">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p>
    <w:p w14:paraId="0A7815B1" w14:textId="77777777" w:rsidR="00462B04" w:rsidRPr="00462B04" w:rsidRDefault="00462B04" w:rsidP="00462B04">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62B04">
        <w:rPr>
          <w:rFonts w:ascii="Lato" w:eastAsia="Times New Roman" w:hAnsi="Lato" w:cs="Times New Roman"/>
          <w:color w:val="000000"/>
          <w:kern w:val="0"/>
          <w:sz w:val="23"/>
          <w:szCs w:val="23"/>
          <w:lang w:eastAsia="fr-BE"/>
          <w14:ligatures w14:val="none"/>
        </w:rPr>
        <w:t>Lors d’une table ronde organisée dans le cadre du Sommet européen de l'aluminium à Bruxelles, en Belgique, le 18 novembre, Robin Scheiner, responsable de la division Aluminium, Alumine et Bauxite chez </w:t>
      </w:r>
      <w:proofErr w:type="spellStart"/>
      <w:r w:rsidRPr="00462B04">
        <w:rPr>
          <w:rFonts w:ascii="Lato" w:eastAsia="Times New Roman" w:hAnsi="Lato" w:cs="Times New Roman"/>
          <w:b/>
          <w:bCs/>
          <w:color w:val="000000"/>
          <w:kern w:val="0"/>
          <w:sz w:val="23"/>
          <w:szCs w:val="23"/>
          <w:lang w:eastAsia="fr-BE"/>
          <w14:ligatures w14:val="none"/>
        </w:rPr>
        <w:t>Glencore</w:t>
      </w:r>
      <w:proofErr w:type="spellEnd"/>
      <w:r w:rsidRPr="00462B04">
        <w:rPr>
          <w:rFonts w:ascii="Lato" w:eastAsia="Times New Roman" w:hAnsi="Lato" w:cs="Times New Roman"/>
          <w:color w:val="000000"/>
          <w:kern w:val="0"/>
          <w:sz w:val="23"/>
          <w:szCs w:val="23"/>
          <w:lang w:eastAsia="fr-BE"/>
          <w14:ligatures w14:val="none"/>
        </w:rPr>
        <w:t>, a alerté sur le fait que le mécanisme d'ajustement carbone aux frontières (MACF) pourrait être préjudiciable pour l'industrie européenne de l'aluminium.</w:t>
      </w:r>
    </w:p>
    <w:p w14:paraId="3BE4D6F5" w14:textId="77777777" w:rsidR="00462B04" w:rsidRPr="00462B04" w:rsidRDefault="00462B04" w:rsidP="00462B04">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62B04">
        <w:rPr>
          <w:rFonts w:ascii="Lato" w:eastAsia="Times New Roman" w:hAnsi="Lato" w:cs="Times New Roman"/>
          <w:color w:val="000000"/>
          <w:kern w:val="0"/>
          <w:sz w:val="23"/>
          <w:szCs w:val="23"/>
          <w:lang w:eastAsia="fr-BE"/>
          <w14:ligatures w14:val="none"/>
        </w:rPr>
        <w:t>Alors que la version définitive du MACF doit entrer en vigueur le 1</w:t>
      </w:r>
      <w:r w:rsidRPr="00462B04">
        <w:rPr>
          <w:rFonts w:ascii="Lato" w:eastAsia="Times New Roman" w:hAnsi="Lato" w:cs="Times New Roman"/>
          <w:color w:val="000000"/>
          <w:kern w:val="0"/>
          <w:sz w:val="23"/>
          <w:szCs w:val="23"/>
          <w:vertAlign w:val="superscript"/>
          <w:lang w:eastAsia="fr-BE"/>
          <w14:ligatures w14:val="none"/>
        </w:rPr>
        <w:t>er</w:t>
      </w:r>
      <w:r w:rsidRPr="00462B04">
        <w:rPr>
          <w:rFonts w:ascii="Lato" w:eastAsia="Times New Roman" w:hAnsi="Lato" w:cs="Times New Roman"/>
          <w:color w:val="000000"/>
          <w:kern w:val="0"/>
          <w:sz w:val="23"/>
          <w:szCs w:val="23"/>
          <w:lang w:eastAsia="fr-BE"/>
          <w14:ligatures w14:val="none"/>
        </w:rPr>
        <w:t> janvier 2026, une grande incertitude subsiste quant au fonctionnement du système et son impact sur l'industrie européenne de l'aluminium.</w:t>
      </w:r>
    </w:p>
    <w:p w14:paraId="55173C8F" w14:textId="77777777" w:rsidR="00462B04" w:rsidRPr="00462B04" w:rsidRDefault="00462B04" w:rsidP="00462B04">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62B04">
        <w:rPr>
          <w:rFonts w:ascii="Lato" w:eastAsia="Times New Roman" w:hAnsi="Lato" w:cs="Times New Roman"/>
          <w:color w:val="000000"/>
          <w:kern w:val="0"/>
          <w:sz w:val="23"/>
          <w:szCs w:val="23"/>
          <w:lang w:eastAsia="fr-BE"/>
          <w14:ligatures w14:val="none"/>
        </w:rPr>
        <w:t>Robin Scheiner estime qu'il est « </w:t>
      </w:r>
      <w:r w:rsidRPr="00462B04">
        <w:rPr>
          <w:rFonts w:ascii="Lato" w:eastAsia="Times New Roman" w:hAnsi="Lato" w:cs="Times New Roman"/>
          <w:i/>
          <w:iCs/>
          <w:color w:val="000000"/>
          <w:kern w:val="0"/>
          <w:sz w:val="23"/>
          <w:szCs w:val="23"/>
          <w:lang w:eastAsia="fr-BE"/>
          <w14:ligatures w14:val="none"/>
        </w:rPr>
        <w:t>trop tôt pour déterminer » </w:t>
      </w:r>
      <w:r w:rsidRPr="00462B04">
        <w:rPr>
          <w:rFonts w:ascii="Lato" w:eastAsia="Times New Roman" w:hAnsi="Lato" w:cs="Times New Roman"/>
          <w:color w:val="000000"/>
          <w:kern w:val="0"/>
          <w:sz w:val="23"/>
          <w:szCs w:val="23"/>
          <w:lang w:eastAsia="fr-BE"/>
          <w14:ligatures w14:val="none"/>
        </w:rPr>
        <w:t>si le MACF soutiendra ou entravera la filière. Néanmoins, le mécanisme soulève des interrogations au sujet de la compétitivité de l’industrie européenne, celui-ci donnant la priorité aux objectifs environnementaux, ce que les autres régions du globe ne font pas. « </w:t>
      </w:r>
      <w:r w:rsidRPr="00462B04">
        <w:rPr>
          <w:rFonts w:ascii="Lato" w:eastAsia="Times New Roman" w:hAnsi="Lato" w:cs="Times New Roman"/>
          <w:i/>
          <w:iCs/>
          <w:color w:val="000000"/>
          <w:kern w:val="0"/>
          <w:sz w:val="23"/>
          <w:szCs w:val="23"/>
          <w:lang w:eastAsia="fr-BE"/>
          <w14:ligatures w14:val="none"/>
        </w:rPr>
        <w:t>Nous avons pris la décision de montrer l’exemple, à tort ou à raison</w:t>
      </w:r>
      <w:r w:rsidRPr="00462B04">
        <w:rPr>
          <w:rFonts w:ascii="Lato" w:eastAsia="Times New Roman" w:hAnsi="Lato" w:cs="Times New Roman"/>
          <w:color w:val="000000"/>
          <w:kern w:val="0"/>
          <w:sz w:val="23"/>
          <w:szCs w:val="23"/>
          <w:lang w:eastAsia="fr-BE"/>
          <w14:ligatures w14:val="none"/>
        </w:rPr>
        <w:t>. </w:t>
      </w:r>
      <w:r w:rsidRPr="00462B04">
        <w:rPr>
          <w:rFonts w:ascii="Lato" w:eastAsia="Times New Roman" w:hAnsi="Lato" w:cs="Times New Roman"/>
          <w:i/>
          <w:iCs/>
          <w:color w:val="000000"/>
          <w:kern w:val="0"/>
          <w:sz w:val="23"/>
          <w:szCs w:val="23"/>
          <w:lang w:eastAsia="fr-BE"/>
          <w14:ligatures w14:val="none"/>
        </w:rPr>
        <w:t>Ce qui explique où nous sommes aujourd’hui</w:t>
      </w:r>
      <w:r w:rsidRPr="00462B04">
        <w:rPr>
          <w:rFonts w:ascii="Lato" w:eastAsia="Times New Roman" w:hAnsi="Lato" w:cs="Times New Roman"/>
          <w:color w:val="000000"/>
          <w:kern w:val="0"/>
          <w:sz w:val="23"/>
          <w:szCs w:val="23"/>
          <w:lang w:eastAsia="fr-BE"/>
          <w14:ligatures w14:val="none"/>
        </w:rPr>
        <w:t>, questionne Robin Scheiner</w:t>
      </w:r>
      <w:r w:rsidRPr="00462B04">
        <w:rPr>
          <w:rFonts w:ascii="Lato" w:eastAsia="Times New Roman" w:hAnsi="Lato" w:cs="Times New Roman"/>
          <w:i/>
          <w:iCs/>
          <w:color w:val="000000"/>
          <w:kern w:val="0"/>
          <w:sz w:val="23"/>
          <w:szCs w:val="23"/>
          <w:lang w:eastAsia="fr-BE"/>
          <w14:ligatures w14:val="none"/>
        </w:rPr>
        <w:t>. L’Allemagne s’est détournée de l’énergie nucléaire et le continent a presque entièrement abandonné sa dépendance aux énergies fossiles, dont une grande part était utilisée pour produire l’aluminium. L’une des conséquences est qu’il n’est plus possible aujourd’hui de produire de l’aluminium en Europe de manière compétitive</w:t>
      </w:r>
      <w:r w:rsidRPr="00462B04">
        <w:rPr>
          <w:rFonts w:ascii="Lato" w:eastAsia="Times New Roman" w:hAnsi="Lato" w:cs="Times New Roman"/>
          <w:color w:val="000000"/>
          <w:kern w:val="0"/>
          <w:sz w:val="23"/>
          <w:szCs w:val="23"/>
          <w:lang w:eastAsia="fr-BE"/>
          <w14:ligatures w14:val="none"/>
        </w:rPr>
        <w:t>. </w:t>
      </w:r>
      <w:r w:rsidRPr="00462B04">
        <w:rPr>
          <w:rFonts w:ascii="Lato" w:eastAsia="Times New Roman" w:hAnsi="Lato" w:cs="Times New Roman"/>
          <w:i/>
          <w:iCs/>
          <w:color w:val="000000"/>
          <w:kern w:val="0"/>
          <w:sz w:val="23"/>
          <w:szCs w:val="23"/>
          <w:lang w:eastAsia="fr-BE"/>
          <w14:ligatures w14:val="none"/>
        </w:rPr>
        <w:t>La majorité des producteurs mondiaux recourent encore aux énergies fossiles et des consommateurs continuent d’acheter de l’aluminium produit à partir de ces énergies</w:t>
      </w:r>
      <w:r w:rsidRPr="00462B04">
        <w:rPr>
          <w:rFonts w:ascii="Lato" w:eastAsia="Times New Roman" w:hAnsi="Lato" w:cs="Times New Roman"/>
          <w:color w:val="000000"/>
          <w:kern w:val="0"/>
          <w:sz w:val="23"/>
          <w:szCs w:val="23"/>
          <w:lang w:eastAsia="fr-BE"/>
          <w14:ligatures w14:val="none"/>
        </w:rPr>
        <w:t>. » Si le mécanisme vise à mettre sur un pied d’égalité, au travers du système d’échanges de quotas de carbone, les acteurs de la zone euro et ceux situés en dehors, certains craignent que cela ne nuise davantage à l’industrie européenne de l’aluminium. </w:t>
      </w:r>
    </w:p>
    <w:p w14:paraId="777B25B1" w14:textId="77777777" w:rsidR="00462B04" w:rsidRPr="00462B04" w:rsidRDefault="00462B04" w:rsidP="00462B04">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62B04">
        <w:rPr>
          <w:rFonts w:ascii="Lato" w:eastAsia="Times New Roman" w:hAnsi="Lato" w:cs="Times New Roman"/>
          <w:color w:val="000000"/>
          <w:kern w:val="0"/>
          <w:sz w:val="23"/>
          <w:szCs w:val="23"/>
          <w:lang w:eastAsia="fr-BE"/>
          <w14:ligatures w14:val="none"/>
        </w:rPr>
        <w:t xml:space="preserve">Selon l’International Aluminium Institute, la production d’aluminium de première fusion est passée de 3 329 000 tonnes en 2021 à 2 828 000 tonnes en 2024, principalement en raison des coûts énergétiques. La fonderie San Ciprian opérée par Alcoa a été mise en sommeil en 2021 ; elle ne devrait pas redémarrer son activité avant 2026. La fonderie </w:t>
      </w:r>
      <w:proofErr w:type="spellStart"/>
      <w:r w:rsidRPr="00462B04">
        <w:rPr>
          <w:rFonts w:ascii="Lato" w:eastAsia="Times New Roman" w:hAnsi="Lato" w:cs="Times New Roman"/>
          <w:color w:val="000000"/>
          <w:kern w:val="0"/>
          <w:sz w:val="23"/>
          <w:szCs w:val="23"/>
          <w:lang w:eastAsia="fr-BE"/>
          <w14:ligatures w14:val="none"/>
        </w:rPr>
        <w:t>Aldel</w:t>
      </w:r>
      <w:proofErr w:type="spellEnd"/>
      <w:r w:rsidRPr="00462B04">
        <w:rPr>
          <w:rFonts w:ascii="Lato" w:eastAsia="Times New Roman" w:hAnsi="Lato" w:cs="Times New Roman"/>
          <w:color w:val="000000"/>
          <w:kern w:val="0"/>
          <w:sz w:val="23"/>
          <w:szCs w:val="23"/>
          <w:lang w:eastAsia="fr-BE"/>
          <w14:ligatures w14:val="none"/>
        </w:rPr>
        <w:t>, aux Pays-Bas, a été mise à l’arrêt en 2021, tout comme la fonderie monténégrine KAP d’</w:t>
      </w:r>
      <w:proofErr w:type="spellStart"/>
      <w:r w:rsidRPr="00462B04">
        <w:rPr>
          <w:rFonts w:ascii="Lato" w:eastAsia="Times New Roman" w:hAnsi="Lato" w:cs="Times New Roman"/>
          <w:b/>
          <w:bCs/>
          <w:color w:val="000000"/>
          <w:kern w:val="0"/>
          <w:sz w:val="23"/>
          <w:szCs w:val="23"/>
          <w:lang w:eastAsia="fr-BE"/>
          <w14:ligatures w14:val="none"/>
        </w:rPr>
        <w:t>Uniprom</w:t>
      </w:r>
      <w:proofErr w:type="spellEnd"/>
      <w:r w:rsidRPr="00462B04">
        <w:rPr>
          <w:rFonts w:ascii="Lato" w:eastAsia="Times New Roman" w:hAnsi="Lato" w:cs="Times New Roman"/>
          <w:color w:val="000000"/>
          <w:kern w:val="0"/>
          <w:sz w:val="23"/>
          <w:szCs w:val="23"/>
          <w:lang w:eastAsia="fr-BE"/>
          <w14:ligatures w14:val="none"/>
        </w:rPr>
        <w:t xml:space="preserve">. S’en est suivie de la fonderie </w:t>
      </w:r>
      <w:proofErr w:type="spellStart"/>
      <w:r w:rsidRPr="00462B04">
        <w:rPr>
          <w:rFonts w:ascii="Lato" w:eastAsia="Times New Roman" w:hAnsi="Lato" w:cs="Times New Roman"/>
          <w:color w:val="000000"/>
          <w:kern w:val="0"/>
          <w:sz w:val="23"/>
          <w:szCs w:val="23"/>
          <w:lang w:eastAsia="fr-BE"/>
          <w14:ligatures w14:val="none"/>
        </w:rPr>
        <w:t>Slovalco</w:t>
      </w:r>
      <w:proofErr w:type="spellEnd"/>
      <w:r w:rsidRPr="00462B04">
        <w:rPr>
          <w:rFonts w:ascii="Lato" w:eastAsia="Times New Roman" w:hAnsi="Lato" w:cs="Times New Roman"/>
          <w:color w:val="000000"/>
          <w:kern w:val="0"/>
          <w:sz w:val="23"/>
          <w:szCs w:val="23"/>
          <w:lang w:eastAsia="fr-BE"/>
          <w14:ligatures w14:val="none"/>
        </w:rPr>
        <w:t xml:space="preserve"> de </w:t>
      </w:r>
      <w:r w:rsidRPr="00462B04">
        <w:rPr>
          <w:rFonts w:ascii="Lato" w:eastAsia="Times New Roman" w:hAnsi="Lato" w:cs="Times New Roman"/>
          <w:b/>
          <w:bCs/>
          <w:color w:val="000000"/>
          <w:kern w:val="0"/>
          <w:sz w:val="23"/>
          <w:szCs w:val="23"/>
          <w:lang w:eastAsia="fr-BE"/>
          <w14:ligatures w14:val="none"/>
        </w:rPr>
        <w:t>Norsk Hydro</w:t>
      </w:r>
      <w:r w:rsidRPr="00462B04">
        <w:rPr>
          <w:rFonts w:ascii="Lato" w:eastAsia="Times New Roman" w:hAnsi="Lato" w:cs="Times New Roman"/>
          <w:color w:val="000000"/>
          <w:kern w:val="0"/>
          <w:sz w:val="23"/>
          <w:szCs w:val="23"/>
          <w:lang w:eastAsia="fr-BE"/>
          <w14:ligatures w14:val="none"/>
        </w:rPr>
        <w:t xml:space="preserve">, en Slovaquie, en 2022. Puis la fonderie </w:t>
      </w:r>
      <w:proofErr w:type="spellStart"/>
      <w:r w:rsidRPr="00462B04">
        <w:rPr>
          <w:rFonts w:ascii="Lato" w:eastAsia="Times New Roman" w:hAnsi="Lato" w:cs="Times New Roman"/>
          <w:color w:val="000000"/>
          <w:kern w:val="0"/>
          <w:sz w:val="23"/>
          <w:szCs w:val="23"/>
          <w:lang w:eastAsia="fr-BE"/>
          <w14:ligatures w14:val="none"/>
        </w:rPr>
        <w:t>Rheinwerk</w:t>
      </w:r>
      <w:proofErr w:type="spellEnd"/>
      <w:r w:rsidRPr="00462B04">
        <w:rPr>
          <w:rFonts w:ascii="Lato" w:eastAsia="Times New Roman" w:hAnsi="Lato" w:cs="Times New Roman"/>
          <w:color w:val="000000"/>
          <w:kern w:val="0"/>
          <w:sz w:val="23"/>
          <w:szCs w:val="23"/>
          <w:lang w:eastAsia="fr-BE"/>
          <w14:ligatures w14:val="none"/>
        </w:rPr>
        <w:t>, en Allemagne, en 2023.</w:t>
      </w:r>
    </w:p>
    <w:p w14:paraId="4A61FF25" w14:textId="77777777" w:rsidR="00462B04" w:rsidRPr="00462B04" w:rsidRDefault="00462B04" w:rsidP="00462B04">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462B04">
        <w:rPr>
          <w:rFonts w:ascii="Lato" w:eastAsia="Times New Roman" w:hAnsi="Lato" w:cs="Times New Roman"/>
          <w:color w:val="000000"/>
          <w:kern w:val="0"/>
          <w:sz w:val="23"/>
          <w:szCs w:val="23"/>
          <w:lang w:eastAsia="fr-BE"/>
          <w14:ligatures w14:val="none"/>
        </w:rPr>
        <w:t>Les participants à la conférence ont notamment pointé le risque de progression des primes européennes comme effet négatif sur l’industrie. Car la question est de savoir si les consommateurs sont prêts à endosser ce surcoût, estimé à 1,2 milliard d’euros. D’autres craignent que les lacunes du système ne menacent les objectifs de décarbonation. Les acteurs du marché qui exportent de l’aluminium en Europe pourraient vouloir augmenter la proportion d’aluminium recyclé dans le métal de première fusion. Il est considéré, dans le cadre du MACF, comme métal neutre en carbone.</w:t>
      </w:r>
    </w:p>
    <w:p w14:paraId="76189206"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B04"/>
    <w:rsid w:val="00287462"/>
    <w:rsid w:val="00462B04"/>
    <w:rsid w:val="008D78E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4D6FD"/>
  <w15:chartTrackingRefBased/>
  <w15:docId w15:val="{7ED3A4F0-666D-4313-973A-B931926B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62B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62B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62B0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62B0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62B0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62B0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62B0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62B0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62B0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62B0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62B0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62B0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62B0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62B0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62B0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62B0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62B0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62B04"/>
    <w:rPr>
      <w:rFonts w:eastAsiaTheme="majorEastAsia" w:cstheme="majorBidi"/>
      <w:color w:val="272727" w:themeColor="text1" w:themeTint="D8"/>
    </w:rPr>
  </w:style>
  <w:style w:type="paragraph" w:styleId="Titre">
    <w:name w:val="Title"/>
    <w:basedOn w:val="Normal"/>
    <w:next w:val="Normal"/>
    <w:link w:val="TitreCar"/>
    <w:uiPriority w:val="10"/>
    <w:qFormat/>
    <w:rsid w:val="00462B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62B0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62B0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62B0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62B04"/>
    <w:pPr>
      <w:spacing w:before="160"/>
      <w:jc w:val="center"/>
    </w:pPr>
    <w:rPr>
      <w:i/>
      <w:iCs/>
      <w:color w:val="404040" w:themeColor="text1" w:themeTint="BF"/>
    </w:rPr>
  </w:style>
  <w:style w:type="character" w:customStyle="1" w:styleId="CitationCar">
    <w:name w:val="Citation Car"/>
    <w:basedOn w:val="Policepardfaut"/>
    <w:link w:val="Citation"/>
    <w:uiPriority w:val="29"/>
    <w:rsid w:val="00462B04"/>
    <w:rPr>
      <w:i/>
      <w:iCs/>
      <w:color w:val="404040" w:themeColor="text1" w:themeTint="BF"/>
    </w:rPr>
  </w:style>
  <w:style w:type="paragraph" w:styleId="Paragraphedeliste">
    <w:name w:val="List Paragraph"/>
    <w:basedOn w:val="Normal"/>
    <w:uiPriority w:val="34"/>
    <w:qFormat/>
    <w:rsid w:val="00462B04"/>
    <w:pPr>
      <w:ind w:left="720"/>
      <w:contextualSpacing/>
    </w:pPr>
  </w:style>
  <w:style w:type="character" w:styleId="Accentuationintense">
    <w:name w:val="Intense Emphasis"/>
    <w:basedOn w:val="Policepardfaut"/>
    <w:uiPriority w:val="21"/>
    <w:qFormat/>
    <w:rsid w:val="00462B04"/>
    <w:rPr>
      <w:i/>
      <w:iCs/>
      <w:color w:val="0F4761" w:themeColor="accent1" w:themeShade="BF"/>
    </w:rPr>
  </w:style>
  <w:style w:type="paragraph" w:styleId="Citationintense">
    <w:name w:val="Intense Quote"/>
    <w:basedOn w:val="Normal"/>
    <w:next w:val="Normal"/>
    <w:link w:val="CitationintenseCar"/>
    <w:uiPriority w:val="30"/>
    <w:qFormat/>
    <w:rsid w:val="00462B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62B04"/>
    <w:rPr>
      <w:i/>
      <w:iCs/>
      <w:color w:val="0F4761" w:themeColor="accent1" w:themeShade="BF"/>
    </w:rPr>
  </w:style>
  <w:style w:type="character" w:styleId="Rfrenceintense">
    <w:name w:val="Intense Reference"/>
    <w:basedOn w:val="Policepardfaut"/>
    <w:uiPriority w:val="32"/>
    <w:qFormat/>
    <w:rsid w:val="00462B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2544</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2025-12-08T09:22:00Z</dcterms:created>
  <dcterms:modified xsi:type="dcterms:W3CDTF">2025-12-08T09:23:00Z</dcterms:modified>
</cp:coreProperties>
</file>